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35" w:rsidRDefault="002020F4">
      <w:r>
        <w:rPr>
          <w:noProof/>
          <w:lang w:val="ru-RU" w:eastAsia="ru-RU"/>
        </w:rPr>
        <w:pict>
          <v:rect id="_x0000_s1035" style="position:absolute;margin-left:303.3pt;margin-top:189.3pt;width:415.15pt;height:48.25pt;z-index:251666432" fillcolor="white [3201]" strokecolor="#92cddc [1944]" strokeweight="1pt">
            <v:fill color2="#b6dde8 [1304]" focusposition="1" focussize="" focus="100%" type="gradient"/>
            <v:shadow on="t" color="#205867 [1608]" opacity=".5" offset="6pt,-6pt"/>
            <v:textbox>
              <w:txbxContent>
                <w:p w:rsidR="00AF5E39" w:rsidRPr="00A50566" w:rsidRDefault="00AF5E39" w:rsidP="002020F4">
                  <w:pPr>
                    <w:jc w:val="center"/>
                    <w:rPr>
                      <w:b/>
                      <w:sz w:val="28"/>
                    </w:rPr>
                  </w:pPr>
                  <w:r w:rsidRPr="00A50566">
                    <w:rPr>
                      <w:b/>
                      <w:sz w:val="28"/>
                    </w:rPr>
                    <w:t>Заборона втручання у сферу судової влади законодавчої та виконавчої гілок влади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210.2pt;margin-top:459.15pt;width:97.8pt;height:0;z-index:251681792" o:connectortype="straight" strokeweight="3pt"/>
        </w:pict>
      </w:r>
      <w:r>
        <w:rPr>
          <w:noProof/>
          <w:lang w:val="ru-RU" w:eastAsia="ru-RU"/>
        </w:rPr>
        <w:pict>
          <v:shape id="_x0000_s1049" type="#_x0000_t32" style="position:absolute;margin-left:210.2pt;margin-top:375pt;width:93.1pt;height:0;z-index:251680768" o:connectortype="straight" strokeweight="3pt"/>
        </w:pict>
      </w:r>
      <w:r>
        <w:rPr>
          <w:noProof/>
          <w:lang w:val="ru-RU" w:eastAsia="ru-RU"/>
        </w:rPr>
        <w:pict>
          <v:shape id="_x0000_s1048" type="#_x0000_t32" style="position:absolute;margin-left:210.2pt;margin-top:284.3pt;width:93.1pt;height:0;z-index:251679744" o:connectortype="straight" strokecolor="black [3213]" strokeweight="3pt"/>
        </w:pict>
      </w:r>
      <w:r>
        <w:rPr>
          <w:noProof/>
          <w:lang w:val="ru-RU" w:eastAsia="ru-RU"/>
        </w:rPr>
        <w:pict>
          <v:shape id="_x0000_s1047" type="#_x0000_t32" style="position:absolute;margin-left:210.2pt;margin-top:209.5pt;width:93.1pt;height:0;z-index:251678720" o:connectortype="straight" strokecolor="black [3213]" strokeweight="3pt">
            <v:shadow type="perspective" color="#7f7f7f [1601]" opacity=".5" offset="1pt" offset2="-1pt"/>
          </v:shape>
        </w:pict>
      </w:r>
      <w:r>
        <w:rPr>
          <w:noProof/>
          <w:lang w:val="ru-RU" w:eastAsia="ru-RU"/>
        </w:rPr>
        <w:pict>
          <v:shape id="_x0000_s1046" type="#_x0000_t32" style="position:absolute;margin-left:210.2pt;margin-top:140.3pt;width:93.1pt;height:0;z-index:251677696" o:connectortype="straight" strokeweight="3pt"/>
        </w:pict>
      </w:r>
      <w:r>
        <w:rPr>
          <w:noProof/>
          <w:lang w:val="ru-RU" w:eastAsia="ru-RU"/>
        </w:rPr>
        <w:pict>
          <v:shape id="_x0000_s1045" type="#_x0000_t32" style="position:absolute;margin-left:-9pt;margin-top:459.15pt;width:28pt;height:0;z-index:251676672" o:connectortype="straight" strokeweight="3pt"/>
        </w:pict>
      </w:r>
      <w:r>
        <w:rPr>
          <w:noProof/>
          <w:lang w:val="ru-RU" w:eastAsia="ru-RU"/>
        </w:rPr>
        <w:pict>
          <v:shape id="_x0000_s1044" type="#_x0000_t32" style="position:absolute;margin-left:-9pt;margin-top:379.7pt;width:28pt;height:0;z-index:251675648" o:connectortype="straight" strokeweight="3pt"/>
        </w:pict>
      </w:r>
      <w:r>
        <w:rPr>
          <w:noProof/>
          <w:lang w:val="ru-RU" w:eastAsia="ru-RU"/>
        </w:rPr>
        <w:pict>
          <v:shape id="_x0000_s1043" type="#_x0000_t32" style="position:absolute;margin-left:-9pt;margin-top:284.3pt;width:28pt;height:0;z-index:251674624" o:connectortype="straight" strokeweight="3pt"/>
        </w:pict>
      </w:r>
      <w:r>
        <w:rPr>
          <w:noProof/>
          <w:lang w:val="ru-RU" w:eastAsia="ru-RU"/>
        </w:rPr>
        <w:pict>
          <v:shape id="_x0000_s1042" type="#_x0000_t32" style="position:absolute;margin-left:-9pt;margin-top:209.5pt;width:28pt;height:0;z-index:251673600" o:connectortype="straight" strokeweight="3pt"/>
        </w:pict>
      </w:r>
      <w:r>
        <w:rPr>
          <w:noProof/>
          <w:lang w:val="ru-RU" w:eastAsia="ru-RU"/>
        </w:rPr>
        <w:pict>
          <v:shape id="_x0000_s1041" type="#_x0000_t32" style="position:absolute;margin-left:-9pt;margin-top:140.3pt;width:28pt;height:0;z-index:251672576" o:connectortype="straight" strokeweight="3pt"/>
        </w:pict>
      </w:r>
      <w:r>
        <w:rPr>
          <w:noProof/>
          <w:lang w:val="ru-RU" w:eastAsia="ru-RU"/>
        </w:rPr>
        <w:pict>
          <v:shape id="_x0000_s1040" type="#_x0000_t32" style="position:absolute;margin-left:-9pt;margin-top:64.55pt;width:0;height:394.6pt;z-index:251671552" o:connectortype="straight" strokeweight="3pt"/>
        </w:pict>
      </w:r>
      <w:r>
        <w:rPr>
          <w:noProof/>
          <w:lang w:val="ru-RU" w:eastAsia="ru-RU"/>
        </w:rPr>
        <w:pict>
          <v:shape id="_x0000_s1039" type="#_x0000_t32" style="position:absolute;margin-left:-9pt;margin-top:63.65pt;width:206.8pt;height:.9pt;flip:x;z-index:251670528" o:connectortype="straight" strokeweight="3pt"/>
        </w:pict>
      </w:r>
      <w:r>
        <w:rPr>
          <w:noProof/>
          <w:lang w:val="ru-RU" w:eastAsia="ru-RU"/>
        </w:rPr>
        <w:pict>
          <v:rect id="_x0000_s1037" style="position:absolute;margin-left:303.3pt;margin-top:351.9pt;width:415.15pt;height:45.95pt;z-index:251668480" fillcolor="white [3201]" strokecolor="#92cddc [1944]" strokeweight="1pt">
            <v:fill color2="#b6dde8 [1304]" focusposition="1" focussize="" focus="100%" type="gradient"/>
            <v:shadow on="t" color="#205867 [1608]" opacity=".5" offset="6pt,-6pt"/>
            <v:textbox>
              <w:txbxContent>
                <w:p w:rsidR="002020F4" w:rsidRPr="00A50566" w:rsidRDefault="002020F4" w:rsidP="00A50566">
                  <w:pPr>
                    <w:jc w:val="center"/>
                    <w:rPr>
                      <w:b/>
                      <w:sz w:val="28"/>
                    </w:rPr>
                  </w:pPr>
                  <w:r w:rsidRPr="00A50566">
                    <w:rPr>
                      <w:b/>
                      <w:sz w:val="28"/>
                    </w:rPr>
                    <w:t>Рішення, що приймаються судами, мають остаточний характер та обов’язкове значення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8" style="position:absolute;margin-left:308pt;margin-top:430.1pt;width:410.45pt;height:48.45pt;z-index:251669504" fillcolor="white [3201]" strokecolor="#92cddc [1944]" strokeweight="1pt">
            <v:fill color2="#b6dde8 [1304]" focusposition="1" focussize="" focus="100%" type="gradient"/>
            <v:shadow on="t" color="#205867 [1608]" opacity=".5" offset="6pt,-6pt"/>
            <v:textbox>
              <w:txbxContent>
                <w:p w:rsidR="00AF5E39" w:rsidRPr="00A50566" w:rsidRDefault="002020F4">
                  <w:pPr>
                    <w:rPr>
                      <w:b/>
                      <w:sz w:val="28"/>
                    </w:rPr>
                  </w:pPr>
                  <w:r w:rsidRPr="00A50566">
                    <w:rPr>
                      <w:b/>
                      <w:sz w:val="28"/>
                    </w:rPr>
                    <w:t>Здійснюється комплексом судів (від низових до центральних), які не підпорядковані по вертикалі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6" style="position:absolute;margin-left:303.3pt;margin-top:260.05pt;width:415.15pt;height:53.4pt;z-index:251667456" fillcolor="white [3201]" strokecolor="#92cddc [1944]" strokeweight="1pt">
            <v:fill color2="#b6dde8 [1304]" focusposition="1" focussize="" focus="100%" type="gradient"/>
            <v:shadow on="t" color="#205867 [1608]" opacity=".5" offset="6pt,-6pt"/>
            <v:textbox>
              <w:txbxContent>
                <w:p w:rsidR="00AF5E39" w:rsidRPr="00A50566" w:rsidRDefault="002020F4" w:rsidP="00A50566">
                  <w:pPr>
                    <w:jc w:val="center"/>
                    <w:rPr>
                      <w:b/>
                      <w:sz w:val="28"/>
                    </w:rPr>
                  </w:pPr>
                  <w:r w:rsidRPr="00A50566">
                    <w:rPr>
                      <w:b/>
                      <w:sz w:val="28"/>
                    </w:rPr>
                    <w:t>Суди та судді діють на основі закону, повноваження суддів здійснюється в особливій процесуальній формі</w:t>
                  </w:r>
                </w:p>
              </w:txbxContent>
            </v:textbox>
          </v:rect>
        </w:pict>
      </w:r>
      <w:r>
        <w:rPr>
          <w:noProof/>
          <w:lang w:val="ru-RU" w:eastAsia="ru-RU"/>
        </w:rPr>
        <w:pict>
          <v:rect id="_x0000_s1034" style="position:absolute;margin-left:303.3pt;margin-top:124.75pt;width:415.15pt;height:34.75pt;z-index:251665408" fillcolor="white [3201]" strokecolor="#92cddc [1944]" strokeweight="1pt">
            <v:fill color2="#b6dde8 [1304]" focusposition="1" focussize="" focus="100%" type="gradient"/>
            <v:shadow on="t" color="#205867 [1608]" opacity=".5" offset="6pt,-6pt"/>
            <v:textbox>
              <w:txbxContent>
                <w:p w:rsidR="00AF5E39" w:rsidRPr="00A50566" w:rsidRDefault="00AF5E39" w:rsidP="002020F4">
                  <w:pPr>
                    <w:jc w:val="center"/>
                    <w:rPr>
                      <w:b/>
                      <w:sz w:val="28"/>
                    </w:rPr>
                  </w:pPr>
                  <w:r w:rsidRPr="00A50566">
                    <w:rPr>
                      <w:b/>
                      <w:sz w:val="28"/>
                    </w:rPr>
                    <w:t>Функції судової влади можуть здійснюватися лише судами</w:t>
                  </w:r>
                </w:p>
              </w:txbxContent>
            </v:textbox>
          </v:rect>
        </w:pict>
      </w:r>
      <w:r w:rsidR="00AF5E39">
        <w:rPr>
          <w:noProof/>
          <w:lang w:val="ru-RU" w:eastAsia="ru-RU"/>
        </w:rPr>
        <w:pict>
          <v:roundrect id="_x0000_s1026" style="position:absolute;margin-left:74.9pt;margin-top:-39pt;width:614.45pt;height:50.25pt;z-index:251658240" arcsize="10923f" fillcolor="#eeece1 [3214]" strokecolor="#666 [1936]" strokeweight="1pt">
            <v:fill color2="#ccc [656]"/>
            <v:shadow on="t" color="#7f7f7f [1601]" opacity=".5" offset="6pt,-6pt"/>
            <v:textbox>
              <w:txbxContent>
                <w:p w:rsidR="00AF5E39" w:rsidRPr="00A50566" w:rsidRDefault="00AF5E39" w:rsidP="00AF5E39">
                  <w:pPr>
                    <w:jc w:val="center"/>
                    <w:rPr>
                      <w:b/>
                      <w:sz w:val="32"/>
                    </w:rPr>
                  </w:pPr>
                  <w:r w:rsidRPr="00A50566">
                    <w:rPr>
                      <w:b/>
                      <w:sz w:val="32"/>
                    </w:rPr>
                    <w:t>Судова влада - одна з трьох гілок державної влади, діяльність якої спрямована на розгляд спорів, що мають юридичне значення</w:t>
                  </w:r>
                </w:p>
              </w:txbxContent>
            </v:textbox>
          </v:roundrect>
        </w:pict>
      </w:r>
      <w:r w:rsidR="00AF5E39">
        <w:rPr>
          <w:noProof/>
          <w:lang w:val="ru-RU" w:eastAsia="ru-RU"/>
        </w:rPr>
        <w:pict>
          <v:rect id="_x0000_s1033" style="position:absolute;margin-left:19pt;margin-top:430.1pt;width:191.2pt;height:48.45pt;z-index:251664384" fillcolor="#d99594 [1941]" strokecolor="#d99594 [1941]" strokeweight="1pt">
            <v:fill color2="#f2dbdb [661]" angle="-45" focus="-50%" type="gradient"/>
            <v:shadow on="t" color="#622423 [1605]" opacity=".5" offset="6pt,-6pt"/>
            <v:textbox>
              <w:txbxContent>
                <w:p w:rsidR="00AF5E39" w:rsidRPr="002020F4" w:rsidRDefault="00AF5E39" w:rsidP="00AF5E39">
                  <w:pPr>
                    <w:jc w:val="center"/>
                    <w:rPr>
                      <w:rFonts w:ascii="Times New Roman" w:hAnsi="Times New Roman" w:cs="Times New Roman"/>
                      <w:w w:val="150"/>
                      <w:sz w:val="28"/>
                    </w:rPr>
                  </w:pPr>
                  <w:r w:rsidRPr="002020F4">
                    <w:rPr>
                      <w:rFonts w:ascii="Times New Roman" w:hAnsi="Times New Roman" w:cs="Times New Roman"/>
                      <w:w w:val="150"/>
                      <w:sz w:val="28"/>
                    </w:rPr>
                    <w:t>децентралізація</w:t>
                  </w:r>
                </w:p>
              </w:txbxContent>
            </v:textbox>
          </v:rect>
        </w:pict>
      </w:r>
      <w:r w:rsidR="00AF5E39">
        <w:rPr>
          <w:noProof/>
          <w:lang w:val="ru-RU" w:eastAsia="ru-RU"/>
        </w:rPr>
        <w:pict>
          <v:rect id="_x0000_s1032" style="position:absolute;margin-left:19pt;margin-top:351.9pt;width:191.2pt;height:45.95pt;z-index:251663360" fillcolor="#d99594 [1941]" strokecolor="#d99594 [1941]" strokeweight="1pt">
            <v:fill color2="#f2dbdb [661]" angle="-45" focus="-50%" type="gradient"/>
            <v:shadow on="t" color="#622423 [1605]" opacity=".5" offset="6pt,-6pt"/>
            <v:textbox>
              <w:txbxContent>
                <w:p w:rsidR="00AF5E39" w:rsidRPr="002020F4" w:rsidRDefault="00AF5E39" w:rsidP="00AF5E39">
                  <w:pPr>
                    <w:jc w:val="center"/>
                    <w:rPr>
                      <w:rFonts w:ascii="Times New Roman" w:hAnsi="Times New Roman" w:cs="Times New Roman"/>
                      <w:w w:val="150"/>
                      <w:sz w:val="28"/>
                    </w:rPr>
                  </w:pPr>
                  <w:r w:rsidRPr="002020F4">
                    <w:rPr>
                      <w:rFonts w:ascii="Times New Roman" w:hAnsi="Times New Roman" w:cs="Times New Roman"/>
                      <w:w w:val="150"/>
                      <w:sz w:val="28"/>
                    </w:rPr>
                    <w:t>повнота</w:t>
                  </w:r>
                </w:p>
              </w:txbxContent>
            </v:textbox>
          </v:rect>
        </w:pict>
      </w:r>
      <w:r w:rsidR="00AF5E39">
        <w:rPr>
          <w:noProof/>
          <w:lang w:val="ru-RU" w:eastAsia="ru-RU"/>
        </w:rPr>
        <w:pict>
          <v:rect id="_x0000_s1031" style="position:absolute;margin-left:19pt;margin-top:260.05pt;width:191.2pt;height:53.4pt;z-index:251662336" fillcolor="#d99594 [1941]" strokecolor="#d99594 [1941]" strokeweight="1pt">
            <v:fill color2="#f2dbdb [661]" angle="-45" focus="-50%" type="gradient"/>
            <v:shadow on="t" color="#622423 [1605]" opacity=".5" offset="6pt,-6pt"/>
            <v:textbox>
              <w:txbxContent>
                <w:p w:rsidR="002020F4" w:rsidRDefault="002020F4" w:rsidP="00AF5E39">
                  <w:pPr>
                    <w:jc w:val="center"/>
                    <w:rPr>
                      <w:rFonts w:ascii="Times New Roman" w:hAnsi="Times New Roman" w:cs="Times New Roman"/>
                      <w:w w:val="150"/>
                      <w:sz w:val="24"/>
                    </w:rPr>
                  </w:pPr>
                </w:p>
                <w:p w:rsidR="00AF5E39" w:rsidRPr="002020F4" w:rsidRDefault="00AF5E39" w:rsidP="00AF5E39">
                  <w:pPr>
                    <w:jc w:val="center"/>
                    <w:rPr>
                      <w:rFonts w:ascii="Times New Roman" w:hAnsi="Times New Roman" w:cs="Times New Roman"/>
                      <w:w w:val="150"/>
                      <w:sz w:val="28"/>
                    </w:rPr>
                  </w:pPr>
                  <w:proofErr w:type="spellStart"/>
                  <w:r w:rsidRPr="002020F4">
                    <w:rPr>
                      <w:rFonts w:ascii="Times New Roman" w:hAnsi="Times New Roman" w:cs="Times New Roman"/>
                      <w:w w:val="150"/>
                      <w:sz w:val="28"/>
                    </w:rPr>
                    <w:t>підзаконність</w:t>
                  </w:r>
                  <w:proofErr w:type="spellEnd"/>
                </w:p>
              </w:txbxContent>
            </v:textbox>
          </v:rect>
        </w:pict>
      </w:r>
      <w:r w:rsidR="00AF5E39">
        <w:rPr>
          <w:noProof/>
          <w:lang w:val="ru-RU" w:eastAsia="ru-RU"/>
        </w:rPr>
        <w:pict>
          <v:rect id="_x0000_s1030" style="position:absolute;margin-left:19pt;margin-top:189.3pt;width:191.2pt;height:36pt;z-index:251661312" fillcolor="#d99594 [1941]" strokecolor="#d99594 [1941]" strokeweight="1pt">
            <v:fill color2="#f2dbdb [661]" angle="-45" focus="-50%" type="gradient"/>
            <v:shadow on="t" color="#622423 [1605]" opacity=".5" offset="6pt,-6pt"/>
            <v:textbox>
              <w:txbxContent>
                <w:p w:rsidR="00AF5E39" w:rsidRPr="002020F4" w:rsidRDefault="00AF5E39" w:rsidP="00AF5E39">
                  <w:pPr>
                    <w:jc w:val="center"/>
                    <w:rPr>
                      <w:rFonts w:ascii="Times New Roman" w:hAnsi="Times New Roman" w:cs="Times New Roman"/>
                      <w:w w:val="150"/>
                      <w:sz w:val="28"/>
                    </w:rPr>
                  </w:pPr>
                  <w:r w:rsidRPr="002020F4">
                    <w:rPr>
                      <w:rFonts w:ascii="Times New Roman" w:hAnsi="Times New Roman" w:cs="Times New Roman"/>
                      <w:w w:val="150"/>
                      <w:sz w:val="28"/>
                    </w:rPr>
                    <w:t>самостійність</w:t>
                  </w:r>
                </w:p>
              </w:txbxContent>
            </v:textbox>
          </v:rect>
        </w:pict>
      </w:r>
      <w:r w:rsidR="00AF5E39">
        <w:rPr>
          <w:noProof/>
          <w:lang w:val="ru-RU" w:eastAsia="ru-RU"/>
        </w:rPr>
        <w:pict>
          <v:rect id="_x0000_s1029" style="position:absolute;margin-left:19pt;margin-top:124.75pt;width:191.2pt;height:34.75pt;z-index:251660288" fillcolor="#d99594 [1941]" strokecolor="#d99594 [1941]" strokeweight="1pt">
            <v:fill color2="#f2dbdb [661]" angle="-45" focus="-50%" type="gradient"/>
            <v:shadow on="t" color="#622423 [1605]" opacity=".5" offset="6pt,-6pt"/>
            <v:textbox>
              <w:txbxContent>
                <w:p w:rsidR="00AF5E39" w:rsidRPr="002020F4" w:rsidRDefault="00AF5E39" w:rsidP="00AF5E39">
                  <w:pPr>
                    <w:jc w:val="center"/>
                    <w:rPr>
                      <w:rFonts w:ascii="Times New Roman" w:hAnsi="Times New Roman" w:cs="Times New Roman"/>
                      <w:w w:val="150"/>
                      <w:sz w:val="28"/>
                    </w:rPr>
                  </w:pPr>
                  <w:r w:rsidRPr="002020F4">
                    <w:rPr>
                      <w:rFonts w:ascii="Times New Roman" w:hAnsi="Times New Roman" w:cs="Times New Roman"/>
                      <w:w w:val="150"/>
                      <w:sz w:val="28"/>
                    </w:rPr>
                    <w:t>винятковість</w:t>
                  </w:r>
                </w:p>
              </w:txbxContent>
            </v:textbox>
          </v:rect>
        </w:pict>
      </w:r>
      <w:r w:rsidR="00AF5E39">
        <w:rPr>
          <w:noProof/>
          <w:lang w:val="ru-RU" w:eastAsia="ru-RU"/>
        </w:rPr>
        <w:pict>
          <v:rect id="_x0000_s1028" style="position:absolute;margin-left:197.8pt;margin-top:45.3pt;width:348.8pt;height:37.25pt;z-index:251659264" fillcolor="#c2d69b [1942]" strokecolor="#c2d69b [1942]" strokeweight="1pt">
            <v:fill color2="#eaf1dd [662]" angle="-45" focus="-50%" type="gradient"/>
            <v:shadow on="t" color="#4e6128 [1606]" opacity=".5" offset="6pt,-6pt"/>
            <v:textbox>
              <w:txbxContent>
                <w:p w:rsidR="00AF5E39" w:rsidRPr="00AF5E39" w:rsidRDefault="00AF5E39" w:rsidP="00AF5E39">
                  <w:pPr>
                    <w:jc w:val="center"/>
                    <w:rPr>
                      <w:b/>
                      <w:sz w:val="32"/>
                    </w:rPr>
                  </w:pPr>
                  <w:r w:rsidRPr="00AF5E39">
                    <w:rPr>
                      <w:b/>
                      <w:sz w:val="32"/>
                    </w:rPr>
                    <w:t>Характерні риси</w:t>
                  </w:r>
                </w:p>
              </w:txbxContent>
            </v:textbox>
          </v:rect>
        </w:pict>
      </w:r>
    </w:p>
    <w:sectPr w:rsidR="00E33535" w:rsidSect="00AF5E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F5E39"/>
    <w:rsid w:val="002020F4"/>
    <w:rsid w:val="0031402F"/>
    <w:rsid w:val="00966CB0"/>
    <w:rsid w:val="00A50566"/>
    <w:rsid w:val="00AF5E39"/>
    <w:rsid w:val="00E3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3214]" strokecolor="none [3213]" shadowcolor="none [1606]"/>
    </o:shapedefaults>
    <o:shapelayout v:ext="edit">
      <o:idmap v:ext="edit" data="1"/>
      <o:rules v:ext="edit">
        <o:r id="V:Rule2" type="connector" idref="#_x0000_s1039"/>
        <o:r id="V:Rule4" type="connector" idref="#_x0000_s1040"/>
        <o:r id="V:Rule6" type="connector" idref="#_x0000_s1041"/>
        <o:r id="V:Rule8" type="connector" idref="#_x0000_s1042"/>
        <o:r id="V:Rule10" type="connector" idref="#_x0000_s1043"/>
        <o:r id="V:Rule12" type="connector" idref="#_x0000_s1044"/>
        <o:r id="V:Rule14" type="connector" idref="#_x0000_s1045"/>
        <o:r id="V:Rule16" type="connector" idref="#_x0000_s1046"/>
        <o:r id="V:Rule18" type="connector" idref="#_x0000_s1047"/>
        <o:r id="V:Rule20" type="connector" idref="#_x0000_s1048"/>
        <o:r id="V:Rule22" type="connector" idref="#_x0000_s1049"/>
        <o:r id="V:Rule24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535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фч</Company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2009-01-15T10:50:00Z</dcterms:created>
  <dcterms:modified xsi:type="dcterms:W3CDTF">2009-01-15T11:19:00Z</dcterms:modified>
</cp:coreProperties>
</file>